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C5" w:rsidRDefault="00FD0339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</w:t>
      </w:r>
    </w:p>
    <w:p w:rsidR="00D00B1A" w:rsidRDefault="00D00B1A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D00B1A" w:rsidRDefault="00D00B1A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9411C5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ÇOKLU YABANCI DİL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6.SINIFLAR ALMANCA</w:t>
      </w:r>
    </w:p>
    <w:p w:rsidR="00675F41" w:rsidRDefault="0079662C" w:rsidP="00675F41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 DÖNEM</w:t>
      </w:r>
      <w:r w:rsidR="00FD0339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</w:rPr>
        <w:t>1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 w:rsidR="00675F41"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 w:rsidR="00675F41"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675F41" w:rsidRDefault="00675F41" w:rsidP="0067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1</w:t>
      </w:r>
    </w:p>
    <w:p w:rsidR="00D00B1A" w:rsidRDefault="00D00B1A" w:rsidP="0067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D00B1A" w:rsidRDefault="00D00B1A" w:rsidP="0067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275"/>
        <w:gridCol w:w="794"/>
      </w:tblGrid>
      <w:tr w:rsidR="00675F41" w:rsidTr="00675F41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Default="00675F41" w:rsidP="00675F41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675F41" w:rsidRDefault="00675F41" w:rsidP="00675F41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Default="00675F41" w:rsidP="00675F41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675F41" w:rsidRDefault="00675F41" w:rsidP="00675F41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Default="00675F41" w:rsidP="00675F41">
            <w:pPr>
              <w:spacing w:before="25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675F41" w:rsidRDefault="00675F41" w:rsidP="00675F41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Soru</w:t>
            </w: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Sayısı</w:t>
            </w:r>
          </w:p>
        </w:tc>
      </w:tr>
      <w:tr w:rsidR="00675F41" w:rsidRPr="00D00B1A" w:rsidTr="00675F41">
        <w:trPr>
          <w:trHeight w:val="1291"/>
        </w:trPr>
        <w:tc>
          <w:tcPr>
            <w:tcW w:w="1833" w:type="dxa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:rsidR="009411C5" w:rsidRPr="00D00B1A" w:rsidRDefault="009411C5" w:rsidP="00675F41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675F41" w:rsidRPr="00D00B1A" w:rsidRDefault="00675F41" w:rsidP="00675F41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1</w:t>
            </w:r>
          </w:p>
          <w:p w:rsidR="00675F41" w:rsidRPr="00D00B1A" w:rsidRDefault="00675F41" w:rsidP="00675F41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675F41" w:rsidRPr="00D00B1A" w:rsidRDefault="00675F41" w:rsidP="002E18AB">
            <w:pPr>
              <w:spacing w:before="65" w:after="0" w:line="247" w:lineRule="auto"/>
              <w:ind w:left="79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DE.6.1.H1.2. – Die Schüler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können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geziel</w:t>
            </w:r>
            <w:r w:rsidR="00927491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t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zuhören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bzw. zusehen, um wichtige Details aus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einem Text für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Hör/Sehverstehen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zum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Thema</w:t>
            </w:r>
            <w:r w:rsid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Hobbys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zu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entnehmen, zu</w:t>
            </w:r>
            <w:r w:rsidR="002E18AB"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verstehen und weiter</w:t>
            </w:r>
            <w:r w:rsid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zu</w:t>
            </w:r>
            <w:r w:rsid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verarbeiten.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D00B1A" w:rsidRDefault="00675F41" w:rsidP="00675F41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675F41" w:rsidRPr="00D00B1A" w:rsidTr="00675F41">
        <w:trPr>
          <w:trHeight w:val="552"/>
        </w:trPr>
        <w:tc>
          <w:tcPr>
            <w:tcW w:w="1833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675F41" w:rsidRPr="00D00B1A" w:rsidRDefault="00675F41" w:rsidP="00675F41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675F41" w:rsidRPr="00D00B1A" w:rsidRDefault="00675F41" w:rsidP="00675F41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DE.6.1.L2.3. –  Die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Schüler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können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zentrale</w:t>
            </w:r>
            <w:r w:rsidR="008C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Informationen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aus</w:t>
            </w:r>
            <w:r w:rsid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zum</w:t>
            </w:r>
            <w:r w:rsidR="008C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Thema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Hobbys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entnehmen und vergleichen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diese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mit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ihren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eigenen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Vorlieben und Meinungen.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D00B1A" w:rsidRDefault="008C6933" w:rsidP="00675F41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675F41" w:rsidRPr="00D00B1A" w:rsidTr="00675F41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675F41" w:rsidRPr="00D00B1A" w:rsidRDefault="00675F41" w:rsidP="00675F41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675F41" w:rsidRPr="00D00B1A" w:rsidRDefault="00675F41" w:rsidP="00675F41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DE.6.1.S4.1. – Die Schüler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können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sich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gezielt auf das Schreiben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einfacher</w:t>
            </w:r>
            <w:r w:rsid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Texte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über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ihre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Hobbys und Freizeitaktivitäten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vorbereiten und können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kurze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strukturierte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Texte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dazu</w:t>
            </w:r>
            <w:r w:rsidR="002E18AB"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verfassen.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D00B1A" w:rsidRDefault="00EB4D11" w:rsidP="00675F41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675F41" w:rsidRPr="00D00B1A" w:rsidTr="00675F41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1" w:rsidRPr="008625AF" w:rsidRDefault="008625AF" w:rsidP="00675F41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/>
                <w:bCs/>
                <w:color w:val="231F20"/>
                <w:kern w:val="0"/>
                <w:sz w:val="28"/>
                <w:szCs w:val="28"/>
              </w:rPr>
            </w:pPr>
            <w:r w:rsidRPr="008625AF">
              <w:rPr>
                <w:rFonts w:ascii="Times New Roman" w:eastAsia="Arial MT" w:hAnsi="Times New Roman" w:cs="Times New Roman"/>
                <w:b/>
                <w:bCs/>
                <w:color w:val="231F20"/>
                <w:kern w:val="0"/>
                <w:sz w:val="28"/>
                <w:szCs w:val="28"/>
              </w:rPr>
              <w:t>Thema 2</w:t>
            </w:r>
          </w:p>
          <w:p w:rsidR="00675F41" w:rsidRPr="00D00B1A" w:rsidRDefault="00924E09" w:rsidP="00675F41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Mein Tag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675F41" w:rsidRPr="00D00B1A" w:rsidRDefault="00AC6E24" w:rsidP="00AC6E24">
            <w:pPr>
              <w:spacing w:before="65" w:after="0" w:line="247" w:lineRule="auto"/>
              <w:ind w:left="80"/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DE.6.2.W2.1. –</w:t>
            </w:r>
            <w:r w:rsidR="00675F41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Die Schüler</w:t>
            </w:r>
            <w:r w:rsidR="001F54C9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="00675F41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können den thematischen</w:t>
            </w:r>
            <w:r w:rsidR="002E18AB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="00675F41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Zielwortschatz</w:t>
            </w:r>
            <w:r w:rsidR="002E18AB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="00675F41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rund um Tageszeiten, Uhrzeiten und Alltagsaktivitäten</w:t>
            </w:r>
            <w:r w:rsidR="002E18AB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="00675F41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korrekt in schriftlichen und mündlichen</w:t>
            </w:r>
            <w:r w:rsid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="00675F41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Kontexten</w:t>
            </w:r>
            <w:r w:rsidR="002E18AB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="00675F41"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erkennen und verwenden.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D00B1A" w:rsidRDefault="008625AF" w:rsidP="00675F41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  <w:t>1</w:t>
            </w:r>
          </w:p>
        </w:tc>
      </w:tr>
    </w:tbl>
    <w:p w:rsidR="00675F41" w:rsidRPr="00D00B1A" w:rsidRDefault="00675F41" w:rsidP="00675F41">
      <w:pPr>
        <w:widowControl w:val="0"/>
        <w:tabs>
          <w:tab w:val="left" w:pos="9260"/>
        </w:tabs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</w:pPr>
      <w:r w:rsidRPr="00D00B1A"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  <w:tab/>
      </w:r>
      <w:r w:rsidRPr="00D00B1A"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  <w:br w:type="textWrapping" w:clear="all"/>
      </w:r>
    </w:p>
    <w:p w:rsidR="00675F41" w:rsidRPr="00625CAD" w:rsidRDefault="00675F41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br w:type="page"/>
      </w:r>
    </w:p>
    <w:p w:rsidR="00675F41" w:rsidRDefault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D00B1A" w:rsidRDefault="00D00B1A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9411C5" w:rsidRDefault="009411C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9411C5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ÇOKLU YABANCI DİL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6.SINIFLAR ALMANCA</w:t>
      </w:r>
    </w:p>
    <w:p w:rsidR="00675F41" w:rsidRDefault="0079662C" w:rsidP="00675F41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 DÖNEM</w:t>
      </w:r>
      <w:r w:rsidR="00FD0339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</w:rPr>
        <w:t>1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 w:rsidR="00675F41"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 w:rsidR="00675F41"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675F41" w:rsidRDefault="00675F41" w:rsidP="0067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2</w:t>
      </w:r>
    </w:p>
    <w:p w:rsidR="00675F41" w:rsidRPr="00625CAD" w:rsidRDefault="00FD0339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Arial" w:hAnsi="Times New Roman" w:cs="Times New Roman"/>
          <w:kern w:val="0"/>
          <w:sz w:val="32"/>
          <w:szCs w:val="32"/>
        </w:rPr>
        <w:t xml:space="preserve"> </w:t>
      </w:r>
    </w:p>
    <w:p w:rsidR="00FD0339" w:rsidRDefault="00FD0339" w:rsidP="00FD0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275"/>
        <w:gridCol w:w="794"/>
      </w:tblGrid>
      <w:tr w:rsidR="00FD0339" w:rsidTr="003C3F3D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Default="00FD0339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FD0339" w:rsidRDefault="00FD0339" w:rsidP="003C3F3D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Default="00FD0339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FD0339" w:rsidRDefault="00FD0339" w:rsidP="003C3F3D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Default="00FD0339" w:rsidP="003C3F3D">
            <w:pPr>
              <w:spacing w:before="25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FD0339" w:rsidRDefault="00FD0339" w:rsidP="003C3F3D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Soru</w:t>
            </w: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Sayısı</w:t>
            </w:r>
          </w:p>
        </w:tc>
      </w:tr>
      <w:tr w:rsidR="00FD0339" w:rsidRPr="00D00B1A" w:rsidTr="003C3F3D">
        <w:trPr>
          <w:trHeight w:val="1291"/>
        </w:trPr>
        <w:tc>
          <w:tcPr>
            <w:tcW w:w="1833" w:type="dxa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1</w:t>
            </w:r>
          </w:p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FD0339" w:rsidRPr="00D00B1A" w:rsidRDefault="00FD0339" w:rsidP="003C3F3D">
            <w:pPr>
              <w:spacing w:before="65" w:after="0" w:line="247" w:lineRule="auto"/>
              <w:ind w:left="79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DE.6.1.H1.2. – Die Schüler können geziel</w:t>
            </w:r>
            <w:r w:rsidR="00927491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t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zuhören bzw. zusehen, um wichtige Details aus einem Text für Hör/Sehverstehen zum Thema</w:t>
            </w: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Hobbys zu entnehmen, zu verstehen und weiter</w:t>
            </w: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zu</w:t>
            </w: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verarbeiten.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FD0339" w:rsidRPr="00D00B1A" w:rsidTr="003C3F3D">
        <w:trPr>
          <w:trHeight w:val="552"/>
        </w:trPr>
        <w:tc>
          <w:tcPr>
            <w:tcW w:w="1833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FD0339" w:rsidRPr="00D00B1A" w:rsidRDefault="00FD0339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DE.6.1.L2.3. –  Die Schüler können zentraleInformationen aus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Texten zumThema Hobbys entnehmen und vergleichen diese mit ihren eigenen Vorlieben und Meinungen.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FD0339" w:rsidRPr="00D00B1A" w:rsidTr="003C3F3D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FD0339" w:rsidRPr="00D00B1A" w:rsidRDefault="00FD0339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DE.6.1.S4.1. – Die Schüler können sich gezielt auf das Schreiben einfacher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Texte über ihre Hobbys und Freizeitaktivitäten vorbereiten und können kurze strukturierte Texte dazu verfassen.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FD0339" w:rsidRPr="00D00B1A" w:rsidTr="003C3F3D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9" w:rsidRPr="008625AF" w:rsidRDefault="00FD033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/>
                <w:bCs/>
                <w:color w:val="231F20"/>
                <w:kern w:val="0"/>
                <w:sz w:val="28"/>
                <w:szCs w:val="28"/>
              </w:rPr>
            </w:pPr>
            <w:r w:rsidRPr="008625AF">
              <w:rPr>
                <w:rFonts w:ascii="Times New Roman" w:eastAsia="Arial MT" w:hAnsi="Times New Roman" w:cs="Times New Roman"/>
                <w:b/>
                <w:bCs/>
                <w:color w:val="231F20"/>
                <w:kern w:val="0"/>
                <w:sz w:val="28"/>
                <w:szCs w:val="28"/>
              </w:rPr>
              <w:t>Thema 2</w:t>
            </w:r>
          </w:p>
          <w:p w:rsidR="00FD0339" w:rsidRPr="00D00B1A" w:rsidRDefault="00924E0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Mein Tag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65" w:after="0" w:line="247" w:lineRule="auto"/>
              <w:ind w:left="80"/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DE.6.2.W2.1. –Die Schüler können den thematischen Zielwortschatz rund um Tageszeiten, Uhrzeiten und Alltagsaktivitäten korrekt in schriftlichen und mündlichen</w:t>
            </w:r>
            <w:r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Kontexten erkennen und verwenden.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8C6933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  <w:t>2</w:t>
            </w:r>
          </w:p>
        </w:tc>
      </w:tr>
    </w:tbl>
    <w:p w:rsidR="00FD0339" w:rsidRPr="00D00B1A" w:rsidRDefault="00FD0339" w:rsidP="00FD0339">
      <w:pPr>
        <w:widowControl w:val="0"/>
        <w:tabs>
          <w:tab w:val="left" w:pos="9260"/>
        </w:tabs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</w:pPr>
      <w:r w:rsidRPr="00D00B1A"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  <w:tab/>
      </w:r>
      <w:r w:rsidRPr="00D00B1A"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  <w:br w:type="textWrapping" w:clear="all"/>
      </w:r>
    </w:p>
    <w:p w:rsidR="00632EF5" w:rsidRDefault="00632EF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9411C5" w:rsidRDefault="002B426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ÇOKLU YABANCI DİL </w:t>
      </w:r>
    </w:p>
    <w:p w:rsidR="00632EF5" w:rsidRDefault="002B426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EĞİTİM PROGRAMI UYGULAYAN </w:t>
      </w:r>
    </w:p>
    <w:p w:rsidR="00632EF5" w:rsidRDefault="002B426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6.SINIFLAR</w:t>
      </w:r>
      <w:r w:rsidR="00DF4D8B"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ALMANCA</w:t>
      </w:r>
    </w:p>
    <w:p w:rsidR="00632EF5" w:rsidRDefault="0079662C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 DÖNEM</w:t>
      </w:r>
      <w:r w:rsidR="00FD0339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 w:rsidR="00DF4D8B">
        <w:rPr>
          <w:rFonts w:ascii="Times New Roman" w:eastAsia="Arial" w:hAnsi="Times New Roman" w:cs="Times New Roman"/>
          <w:b/>
          <w:kern w:val="0"/>
          <w:sz w:val="32"/>
          <w:szCs w:val="32"/>
        </w:rPr>
        <w:t>1</w:t>
      </w:r>
      <w:r w:rsidR="002B4269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 w:rsidR="002B4269"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 w:rsidR="002B4269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KONU SORU DAĞILIM</w:t>
      </w:r>
      <w:r w:rsidR="002B4269"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FD0339" w:rsidRDefault="00675F41" w:rsidP="00FD0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3</w:t>
      </w:r>
    </w:p>
    <w:p w:rsidR="00FD0339" w:rsidRDefault="00FD0339" w:rsidP="00FD0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632EF5" w:rsidRPr="00625CAD" w:rsidRDefault="009411C5" w:rsidP="00FD0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tab/>
      </w: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br w:type="textWrapping" w:clear="all"/>
      </w:r>
    </w:p>
    <w:p w:rsidR="009411C5" w:rsidRPr="00625CAD" w:rsidRDefault="009411C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FD0339" w:rsidRDefault="00FD0339" w:rsidP="00FD0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275"/>
        <w:gridCol w:w="794"/>
      </w:tblGrid>
      <w:tr w:rsidR="00FD0339" w:rsidTr="003C3F3D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Default="00FD0339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FD0339" w:rsidRDefault="00FD0339" w:rsidP="003C3F3D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Default="00FD0339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FD0339" w:rsidRDefault="00FD0339" w:rsidP="003C3F3D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Default="00FD0339" w:rsidP="003C3F3D">
            <w:pPr>
              <w:spacing w:before="25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FD0339" w:rsidRDefault="00FD0339" w:rsidP="003C3F3D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Soru</w:t>
            </w: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Sayısı</w:t>
            </w:r>
          </w:p>
        </w:tc>
      </w:tr>
      <w:tr w:rsidR="00FD0339" w:rsidRPr="00D00B1A" w:rsidTr="003C3F3D">
        <w:trPr>
          <w:trHeight w:val="1291"/>
        </w:trPr>
        <w:tc>
          <w:tcPr>
            <w:tcW w:w="1833" w:type="dxa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1</w:t>
            </w:r>
          </w:p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FD0339" w:rsidRPr="00D00B1A" w:rsidRDefault="00FD0339" w:rsidP="003C3F3D">
            <w:pPr>
              <w:spacing w:before="65" w:after="0" w:line="247" w:lineRule="auto"/>
              <w:ind w:left="79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DE.6.1.H1.2. – Die Schüler können geziel</w:t>
            </w:r>
            <w:r w:rsidR="00927491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t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zuhören bzw. zusehen, um wichtige Details aus einem Text für Hör/Sehverstehen zum Thema</w:t>
            </w: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Hobbys zu entnehmen, zu verstehen und weiter</w:t>
            </w: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zu</w:t>
            </w: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verarbeiten.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FD0339" w:rsidRPr="00D00B1A" w:rsidTr="003C3F3D">
        <w:trPr>
          <w:trHeight w:val="552"/>
        </w:trPr>
        <w:tc>
          <w:tcPr>
            <w:tcW w:w="1833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FD0339" w:rsidRPr="00D00B1A" w:rsidRDefault="00FD0339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DE.6.1.L2.3. –  Die Schüler können zentraleInformationen aus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Texten zumThema Hobbys entnehmen und vergleichen diese mit ihren eigenen Vorlieben und Meinungen.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8C6933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FD0339" w:rsidRPr="00D00B1A" w:rsidTr="003C3F3D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FD0339" w:rsidRPr="00D00B1A" w:rsidRDefault="00FD0339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DE.6.1.S4.1. – Die Schüler können sich gezielt auf das Schreiben einfacher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Texte über ihre Hobbys und Freizeitaktivitäten vorbereiten und können kurze strukturierte Texte dazu verfassen.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8C6933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FD0339" w:rsidRPr="00D00B1A" w:rsidTr="003C3F3D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9" w:rsidRPr="008625AF" w:rsidRDefault="00FD033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/>
                <w:bCs/>
                <w:color w:val="231F20"/>
                <w:kern w:val="0"/>
                <w:sz w:val="28"/>
                <w:szCs w:val="28"/>
              </w:rPr>
            </w:pPr>
            <w:r w:rsidRPr="008625AF">
              <w:rPr>
                <w:rFonts w:ascii="Times New Roman" w:eastAsia="Arial MT" w:hAnsi="Times New Roman" w:cs="Times New Roman"/>
                <w:b/>
                <w:bCs/>
                <w:color w:val="231F20"/>
                <w:kern w:val="0"/>
                <w:sz w:val="28"/>
                <w:szCs w:val="28"/>
              </w:rPr>
              <w:t>Thema 2</w:t>
            </w:r>
          </w:p>
          <w:p w:rsidR="00FD0339" w:rsidRPr="00D00B1A" w:rsidRDefault="00924E0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Mein Tag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65" w:after="0" w:line="247" w:lineRule="auto"/>
              <w:ind w:left="80"/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</w:pPr>
            <w:r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DE.6.2.W2.1. –Die Schüler können den thematischen Zielwortschatz rund um Tageszeiten, Uhrzeiten und Alltagsaktivitäten korrekt in schriftlichen und mündlichen</w:t>
            </w:r>
            <w:r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 xml:space="preserve"> </w:t>
            </w:r>
            <w:r w:rsidRPr="00D00B1A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Kontexten erkennen und verwenden.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D0339" w:rsidRPr="00D00B1A" w:rsidRDefault="00FD0339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  <w:t>1</w:t>
            </w:r>
          </w:p>
        </w:tc>
      </w:tr>
    </w:tbl>
    <w:p w:rsidR="00FD0339" w:rsidRPr="00D00B1A" w:rsidRDefault="00FD0339" w:rsidP="00FD0339">
      <w:pPr>
        <w:widowControl w:val="0"/>
        <w:tabs>
          <w:tab w:val="left" w:pos="9260"/>
        </w:tabs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</w:pPr>
      <w:r w:rsidRPr="00D00B1A"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  <w:tab/>
      </w:r>
      <w:r w:rsidRPr="00D00B1A">
        <w:rPr>
          <w:rFonts w:ascii="Times New Roman" w:eastAsia="Arial" w:hAnsi="Times New Roman" w:cs="Times New Roman"/>
          <w:b/>
          <w:bCs/>
          <w:kern w:val="0"/>
          <w:sz w:val="28"/>
          <w:szCs w:val="28"/>
        </w:rPr>
        <w:br w:type="textWrapping" w:clear="all"/>
      </w:r>
    </w:p>
    <w:p w:rsidR="009411C5" w:rsidRPr="00625CAD" w:rsidRDefault="009411C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9411C5" w:rsidRDefault="009411C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40"/>
          <w:szCs w:val="40"/>
        </w:rPr>
      </w:pPr>
    </w:p>
    <w:p w:rsidR="009411C5" w:rsidRDefault="009411C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40"/>
          <w:szCs w:val="40"/>
        </w:rPr>
      </w:pPr>
    </w:p>
    <w:p w:rsidR="00632EF5" w:rsidRDefault="00632EF5"/>
    <w:p w:rsidR="00632EF5" w:rsidRDefault="00632EF5"/>
    <w:p w:rsidR="00632EF5" w:rsidRDefault="00632EF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632EF5" w:rsidRDefault="00632EF5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554C1E" w:rsidRDefault="00554C1E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554C1E" w:rsidRDefault="00554C1E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D0339" w:rsidRDefault="00FD033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554C1E" w:rsidRDefault="002B426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ÇOKLU YABANCI DİL </w:t>
      </w:r>
    </w:p>
    <w:p w:rsidR="00632EF5" w:rsidRDefault="002B426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EĞİTİM PROGRAMI UYGULAYAN </w:t>
      </w:r>
    </w:p>
    <w:p w:rsidR="00632EF5" w:rsidRDefault="002B4269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6.SINIFLAR</w:t>
      </w:r>
      <w:r w:rsidR="00675F41"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ALMANCA</w:t>
      </w:r>
    </w:p>
    <w:p w:rsidR="00632EF5" w:rsidRDefault="0079662C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 DÖNEM</w:t>
      </w:r>
      <w:r w:rsidR="008C6933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 w:rsidR="002B4269">
        <w:rPr>
          <w:rFonts w:ascii="Times New Roman" w:eastAsia="Arial" w:hAnsi="Times New Roman" w:cs="Times New Roman"/>
          <w:b/>
          <w:kern w:val="0"/>
          <w:sz w:val="32"/>
          <w:szCs w:val="32"/>
        </w:rPr>
        <w:t>2</w:t>
      </w:r>
      <w:r w:rsidR="002B4269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 w:rsidR="002B4269"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 w:rsidR="002B4269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KONU SORU DAĞILIM</w:t>
      </w:r>
      <w:r w:rsidR="002B4269"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632EF5" w:rsidRDefault="0067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1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0A1BAB" w:rsidRDefault="000A1BAB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tbl>
      <w:tblPr>
        <w:tblStyle w:val="TableNormal11"/>
        <w:tblW w:w="9913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275"/>
        <w:gridCol w:w="805"/>
      </w:tblGrid>
      <w:tr w:rsidR="00675F41" w:rsidTr="00D631C8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Default="00675F41" w:rsidP="006F6382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675F41" w:rsidRDefault="00675F41" w:rsidP="006F6382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Default="00675F41" w:rsidP="006F6382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675F41" w:rsidRDefault="00675F41" w:rsidP="006F6382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Default="00675F41" w:rsidP="006F6382">
            <w:pPr>
              <w:spacing w:before="25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675F41" w:rsidRDefault="00675F41" w:rsidP="006F6382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Soru</w:t>
            </w: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Sayısı</w:t>
            </w:r>
          </w:p>
        </w:tc>
      </w:tr>
      <w:tr w:rsidR="00675F41" w:rsidRPr="00F84193" w:rsidTr="00D631C8">
        <w:trPr>
          <w:trHeight w:val="1291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675F41" w:rsidRPr="000A1BAB" w:rsidRDefault="00675F41" w:rsidP="006F6382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1</w:t>
            </w:r>
          </w:p>
          <w:p w:rsidR="00675F41" w:rsidRPr="000A1BAB" w:rsidRDefault="00675F41" w:rsidP="006F6382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675F41" w:rsidRPr="000A1BAB" w:rsidRDefault="00705D3C" w:rsidP="006F6382">
            <w:pPr>
              <w:spacing w:before="65" w:after="0" w:line="247" w:lineRule="auto"/>
              <w:ind w:left="79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DE.6.1.L2</w:t>
            </w:r>
            <w:r w:rsidR="00675F41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.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3.</w:t>
            </w:r>
            <w:r w:rsidR="00675F41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– Die S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chüler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können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zentrale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Informationen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aus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Texten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zumThema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Hobbys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entnehmen und vergleichen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diese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mit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ihren</w:t>
            </w:r>
            <w:r w:rsidR="000A1BAB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eigenenVorlieben und Meinungen.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0A1BAB" w:rsidRDefault="00675F41" w:rsidP="006F6382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675F41" w:rsidRPr="00F84193" w:rsidTr="00D631C8">
        <w:trPr>
          <w:trHeight w:val="1205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675F41" w:rsidRPr="000A1BAB" w:rsidRDefault="00FB00EC" w:rsidP="006F6382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2</w:t>
            </w:r>
          </w:p>
          <w:p w:rsidR="00FB00EC" w:rsidRPr="000A1BAB" w:rsidRDefault="00924E09" w:rsidP="006F6382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Mein Tag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675F41" w:rsidRPr="000A1BAB" w:rsidRDefault="00705D3C" w:rsidP="006F6382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DE.6.2</w:t>
            </w:r>
            <w:r w:rsidR="00675F41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H1.2</w:t>
            </w:r>
            <w:r w:rsidR="00675F41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Die Schüler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können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gezielt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Informationen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aus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Materialien von Hör/Sehverstehen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Tagesablauf und Uhrzeiten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entnehmen und können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zentrale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Aussa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72C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verstehen.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0A1BAB" w:rsidRDefault="00F84193" w:rsidP="006F6382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675F41" w:rsidRPr="00F84193" w:rsidTr="00D631C8">
        <w:trPr>
          <w:trHeight w:val="1475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675F41" w:rsidRPr="000A1BAB" w:rsidRDefault="00FB00EC" w:rsidP="006F6382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3</w:t>
            </w:r>
          </w:p>
          <w:p w:rsidR="00FB00EC" w:rsidRPr="000A1BAB" w:rsidRDefault="00FB00EC" w:rsidP="006F6382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Jahreszeiten und das Wetter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675F41" w:rsidRPr="000A1BAB" w:rsidRDefault="003572CB" w:rsidP="006F6382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DE.6.3.H1.2</w:t>
            </w:r>
            <w:r w:rsidR="00675F41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Die Schüler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können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gezielt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Informationen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Jahreszeiten, Wetterbedingungen und Kleidung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aus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Materialien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für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Hör/Sehverstehen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entnehmen.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0A1BAB" w:rsidRDefault="00F84193" w:rsidP="006F6382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675F41" w:rsidRPr="00F84193" w:rsidTr="00924E09">
        <w:trPr>
          <w:trHeight w:val="1536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0A1BAB" w:rsidRDefault="00924E09" w:rsidP="006F6382">
            <w:pPr>
              <w:spacing w:before="173" w:after="0" w:line="240" w:lineRule="auto"/>
              <w:jc w:val="both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  </w:t>
            </w:r>
            <w:r w:rsidR="00F84193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Jahreszeiten</w:t>
            </w: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   </w:t>
            </w:r>
            <w:r w:rsidR="00FB00EC"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und das Wetter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675F41" w:rsidRPr="000A1BAB" w:rsidRDefault="003572CB" w:rsidP="006F6382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DE.6.3.L2.1</w:t>
            </w:r>
            <w:r w:rsidR="00675F41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Die Schüler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5F41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können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5F41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gezielt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5F41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nformationen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 den Jahreszeiten, Monaten, dem Wetter und typ</w:t>
            </w:r>
            <w:r w:rsidR="00F84193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ischer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4193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Kleidung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4193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aus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4193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kurzen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4193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Lesetexten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4193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oder</w:t>
            </w:r>
            <w:r w:rsidR="000A1BAB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Schaubildern </w:t>
            </w:r>
            <w:r w:rsidR="00F84193"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entnehmen.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41" w:rsidRPr="000A1BAB" w:rsidRDefault="00F84193" w:rsidP="006F6382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  <w:t>2</w:t>
            </w:r>
          </w:p>
        </w:tc>
      </w:tr>
    </w:tbl>
    <w:p w:rsidR="00675F41" w:rsidRDefault="00675F41" w:rsidP="00675F41"/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B00EC" w:rsidRDefault="00FB00EC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B00EC" w:rsidRDefault="00FB00EC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84193" w:rsidRDefault="00F84193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554C1E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ÇOKLU YABANCI DİL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6.SINIFLAR ALMANCA</w:t>
      </w:r>
    </w:p>
    <w:p w:rsidR="00675F41" w:rsidRDefault="0079662C" w:rsidP="00675F41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1. DÖNEM 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</w:rPr>
        <w:t>2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 w:rsidR="00675F41"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 w:rsidR="00675F41"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675F41" w:rsidRDefault="00675F41" w:rsidP="0067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2</w:t>
      </w:r>
    </w:p>
    <w:p w:rsidR="00632EF5" w:rsidRDefault="00632EF5"/>
    <w:p w:rsidR="00D35B0C" w:rsidRDefault="00D35B0C" w:rsidP="00D35B0C"/>
    <w:p w:rsidR="00675F41" w:rsidRDefault="00675F41"/>
    <w:p w:rsidR="00675F41" w:rsidRDefault="00675F41"/>
    <w:tbl>
      <w:tblPr>
        <w:tblStyle w:val="TableNormal11"/>
        <w:tblW w:w="9913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275"/>
        <w:gridCol w:w="805"/>
      </w:tblGrid>
      <w:tr w:rsidR="000A1BAB" w:rsidTr="003C3F3D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Default="000A1BAB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0A1BAB" w:rsidRDefault="000A1BAB" w:rsidP="003C3F3D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Default="000A1BAB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0A1BAB" w:rsidRDefault="000A1BAB" w:rsidP="003C3F3D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Default="000A1BAB" w:rsidP="003C3F3D">
            <w:pPr>
              <w:spacing w:before="25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0A1BAB" w:rsidRDefault="000A1BAB" w:rsidP="003C3F3D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Soru</w:t>
            </w: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Sayısı</w:t>
            </w:r>
          </w:p>
        </w:tc>
      </w:tr>
      <w:tr w:rsidR="000A1BAB" w:rsidRPr="00F84193" w:rsidTr="003C3F3D">
        <w:trPr>
          <w:trHeight w:val="1291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1</w:t>
            </w:r>
          </w:p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spacing w:before="65" w:after="0" w:line="247" w:lineRule="auto"/>
              <w:ind w:left="79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DE.6.1.L2.3. – Die Schüler können zentrale Informationen aus Texten zumThema Hobbys entnehmen und vergleichen diese mit ihren eigenenVorlieben und Meinungen.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0A1BAB" w:rsidRPr="00F84193" w:rsidTr="003C3F3D">
        <w:trPr>
          <w:trHeight w:val="1205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2</w:t>
            </w:r>
          </w:p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Mein Tag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DE.6.2.H1.2 – Die Schüler können gezielt Informationen aus Materialien von Hör/Sehverstehen zu Tagesablauf und Uhrzeiten entnehmen und können zentrale Aussagen verstehen.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E5C22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</w:tr>
      <w:tr w:rsidR="000A1BAB" w:rsidRPr="00F84193" w:rsidTr="003C3F3D">
        <w:trPr>
          <w:trHeight w:val="1475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3</w:t>
            </w:r>
          </w:p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Jahreszeiten und das Wetter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DE.6.3.H1.2. – Die Schüler können gezielt Informationen zu Jahreszeiten, Wetterbedingungen und Kleidung aus Materialien für Hör/Sehverstehen entnehmen.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0A1BAB" w:rsidRPr="00F84193" w:rsidTr="003C3F3D">
        <w:trPr>
          <w:trHeight w:val="1536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jc w:val="both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  Die Jahreszeiten    und das Wetter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DE.6.3.L2.1. – Die Schüler können gezielt Informationen zu den Jahreszeiten, Monaten, dem Wetter und typischer Kleidung aus kurzen Lesetexten oder Schaubildern entnehmen.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  <w:t>2</w:t>
            </w:r>
          </w:p>
        </w:tc>
      </w:tr>
    </w:tbl>
    <w:p w:rsidR="00D35B0C" w:rsidRDefault="00D35B0C"/>
    <w:p w:rsidR="00D35B0C" w:rsidRDefault="00D35B0C"/>
    <w:p w:rsidR="00D35B0C" w:rsidRDefault="00D35B0C"/>
    <w:p w:rsidR="00D35B0C" w:rsidRDefault="00D35B0C"/>
    <w:p w:rsidR="00675F41" w:rsidRDefault="00675F41"/>
    <w:p w:rsidR="00FC18A4" w:rsidRDefault="00FC18A4"/>
    <w:p w:rsidR="00FC18A4" w:rsidRDefault="00FC18A4"/>
    <w:p w:rsidR="00FC18A4" w:rsidRDefault="00FC18A4"/>
    <w:p w:rsidR="00FC18A4" w:rsidRDefault="00FC18A4"/>
    <w:p w:rsidR="00FC18A4" w:rsidRDefault="00FC18A4"/>
    <w:p w:rsidR="00FC18A4" w:rsidRDefault="00FC18A4"/>
    <w:p w:rsidR="00FC18A4" w:rsidRDefault="00FC18A4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</w:p>
    <w:p w:rsidR="00FC18A4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ÇOKLU YABANCI DİL 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EĞİTİM PROGRAMI UYGULAYAN </w:t>
      </w:r>
    </w:p>
    <w:p w:rsidR="00675F41" w:rsidRDefault="00675F41" w:rsidP="00675F41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6.SINIFLAR ALMANCA</w:t>
      </w:r>
    </w:p>
    <w:p w:rsidR="00675F41" w:rsidRDefault="004128D1" w:rsidP="00675F41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 DÖNEM 2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 w:rsidR="00675F41"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 w:rsidR="00675F41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 w:rsidR="00675F41"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675F41" w:rsidRDefault="00675F41" w:rsidP="0067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3</w:t>
      </w:r>
    </w:p>
    <w:p w:rsidR="00675F41" w:rsidRDefault="00675F41" w:rsidP="00675F41"/>
    <w:p w:rsidR="00D35B0C" w:rsidRPr="00D631C8" w:rsidRDefault="00D35B0C" w:rsidP="00D35B0C">
      <w:pPr>
        <w:rPr>
          <w:sz w:val="24"/>
          <w:szCs w:val="24"/>
        </w:rPr>
      </w:pPr>
    </w:p>
    <w:p w:rsidR="00D35B0C" w:rsidRDefault="00D35B0C" w:rsidP="00675F41"/>
    <w:tbl>
      <w:tblPr>
        <w:tblStyle w:val="TableNormal11"/>
        <w:tblW w:w="9913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275"/>
        <w:gridCol w:w="805"/>
      </w:tblGrid>
      <w:tr w:rsidR="000A1BAB" w:rsidTr="003C3F3D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Default="000A1BAB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0A1BAB" w:rsidRDefault="000A1BAB" w:rsidP="003C3F3D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Default="000A1BAB" w:rsidP="003C3F3D">
            <w:pPr>
              <w:spacing w:before="133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0A1BAB" w:rsidRDefault="000A1BAB" w:rsidP="003C3F3D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Default="000A1BAB" w:rsidP="003C3F3D">
            <w:pPr>
              <w:spacing w:before="25" w:after="0" w:line="240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</w:p>
          <w:p w:rsidR="000A1BAB" w:rsidRDefault="000A1BAB" w:rsidP="003C3F3D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 w:cs="Times New Roman"/>
                <w:bCs/>
                <w:kern w:val="0"/>
              </w:rPr>
            </w:pPr>
            <w:r>
              <w:rPr>
                <w:rFonts w:ascii="Times New Roman" w:eastAsia="Arial MT" w:hAnsi="Times New Roman" w:cs="Times New Roman"/>
                <w:bCs/>
                <w:color w:val="231F20"/>
                <w:spacing w:val="-4"/>
                <w:kern w:val="0"/>
              </w:rPr>
              <w:t>Soru</w:t>
            </w:r>
            <w:r>
              <w:rPr>
                <w:rFonts w:ascii="Times New Roman" w:eastAsia="Arial MT" w:hAnsi="Times New Roman" w:cs="Times New Roman"/>
                <w:bCs/>
                <w:color w:val="231F20"/>
                <w:spacing w:val="-2"/>
                <w:kern w:val="0"/>
              </w:rPr>
              <w:t>Sayısı</w:t>
            </w:r>
          </w:p>
        </w:tc>
      </w:tr>
      <w:tr w:rsidR="000A1BAB" w:rsidRPr="00F84193" w:rsidTr="003C3F3D">
        <w:trPr>
          <w:trHeight w:val="1291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1</w:t>
            </w:r>
          </w:p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Hobbys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spacing w:before="65" w:after="0" w:line="247" w:lineRule="auto"/>
              <w:ind w:left="79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DE.6.1.L2.3. – Die Schüler können zentrale Informationen aus Texten zumThema Hobbys entnehmen und vergleichen diese mit ihren eigenenVorlieben und Meinungen.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5A474D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0A1BAB" w:rsidRPr="00F84193" w:rsidTr="003C3F3D">
        <w:trPr>
          <w:trHeight w:val="1205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2</w:t>
            </w:r>
          </w:p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color w:val="231F20"/>
                <w:kern w:val="0"/>
                <w:sz w:val="28"/>
                <w:szCs w:val="28"/>
              </w:rPr>
              <w:t>Mein Tag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DE.6.2.H1.2 – Die Schüler können gezielt Informationen aus Materialien von Hör/Sehverstehen zu Tagesablauf und Uhrzeiten entnehmen und können zentrale Aussagen verstehen.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E5C22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0A1BAB" w:rsidRPr="00F84193" w:rsidTr="003C3F3D">
        <w:trPr>
          <w:trHeight w:val="1475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/>
                <w:bCs/>
                <w:kern w:val="0"/>
                <w:sz w:val="28"/>
                <w:szCs w:val="28"/>
              </w:rPr>
              <w:t>Thema 3</w:t>
            </w:r>
          </w:p>
          <w:p w:rsidR="000A1BAB" w:rsidRPr="000A1BAB" w:rsidRDefault="000A1BAB" w:rsidP="003C3F3D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Die Jahreszeiten und das Wetter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DE.6.3.H1.2. – Die Schüler können gezielt Informationen zu Jahreszeiten, Wetterbedingungen und Kleidung aus Materialien für Hör/Sehverstehen entnehmen.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</w:tr>
      <w:tr w:rsidR="000A1BAB" w:rsidRPr="00F84193" w:rsidTr="003C3F3D">
        <w:trPr>
          <w:trHeight w:val="1536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jc w:val="both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  <w:t xml:space="preserve">   Die Jahreszeiten    und das Wetter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1BAB" w:rsidRPr="000A1BAB" w:rsidRDefault="000A1BAB" w:rsidP="003C3F3D">
            <w:pPr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DE.6.3.L2.1. – Die Schüler können gezielt Informationen zu den Jahreszeiten, Monaten, dem Wetter und typischer Kleidung aus kurzen Lesetexten oder Schaubildern entnehmen.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1BAB" w:rsidRPr="000A1BAB" w:rsidRDefault="000A1BAB" w:rsidP="003C3F3D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8"/>
                <w:szCs w:val="28"/>
              </w:rPr>
            </w:pPr>
            <w:r w:rsidRPr="000A1BAB">
              <w:rPr>
                <w:rFonts w:ascii="Times New Roman" w:eastAsia="Arial MT" w:hAnsi="Times New Roman" w:cs="Times New Roman"/>
                <w:bCs/>
                <w:color w:val="231F20"/>
                <w:spacing w:val="-10"/>
                <w:kern w:val="0"/>
                <w:sz w:val="28"/>
                <w:szCs w:val="28"/>
              </w:rPr>
              <w:t>2</w:t>
            </w:r>
          </w:p>
        </w:tc>
      </w:tr>
    </w:tbl>
    <w:p w:rsidR="00675F41" w:rsidRDefault="00675F41"/>
    <w:sectPr w:rsidR="00675F41" w:rsidSect="00632EF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4E1" w:rsidRDefault="001C14E1">
      <w:pPr>
        <w:spacing w:line="240" w:lineRule="auto"/>
      </w:pPr>
      <w:r>
        <w:separator/>
      </w:r>
    </w:p>
  </w:endnote>
  <w:endnote w:type="continuationSeparator" w:id="0">
    <w:p w:rsidR="001C14E1" w:rsidRDefault="001C1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4E1" w:rsidRDefault="001C14E1">
      <w:pPr>
        <w:spacing w:after="0"/>
      </w:pPr>
      <w:r>
        <w:separator/>
      </w:r>
    </w:p>
  </w:footnote>
  <w:footnote w:type="continuationSeparator" w:id="0">
    <w:p w:rsidR="001C14E1" w:rsidRDefault="001C14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32EF5"/>
    <w:rsid w:val="000202F3"/>
    <w:rsid w:val="000A1BAB"/>
    <w:rsid w:val="000E5C22"/>
    <w:rsid w:val="001C14E1"/>
    <w:rsid w:val="001F54C9"/>
    <w:rsid w:val="00255F21"/>
    <w:rsid w:val="002B4269"/>
    <w:rsid w:val="002E18AB"/>
    <w:rsid w:val="003233A8"/>
    <w:rsid w:val="003572CB"/>
    <w:rsid w:val="004128D1"/>
    <w:rsid w:val="00475C28"/>
    <w:rsid w:val="00554C1E"/>
    <w:rsid w:val="005A474D"/>
    <w:rsid w:val="005D5D6D"/>
    <w:rsid w:val="00625CAD"/>
    <w:rsid w:val="00632EF5"/>
    <w:rsid w:val="00675F41"/>
    <w:rsid w:val="00705D3C"/>
    <w:rsid w:val="0079662C"/>
    <w:rsid w:val="007F7910"/>
    <w:rsid w:val="008625AF"/>
    <w:rsid w:val="008B7896"/>
    <w:rsid w:val="008C6933"/>
    <w:rsid w:val="0091379A"/>
    <w:rsid w:val="00924E09"/>
    <w:rsid w:val="00927491"/>
    <w:rsid w:val="009365FA"/>
    <w:rsid w:val="009401F4"/>
    <w:rsid w:val="009411C5"/>
    <w:rsid w:val="00982253"/>
    <w:rsid w:val="00AB4C10"/>
    <w:rsid w:val="00AC6E24"/>
    <w:rsid w:val="00D00B1A"/>
    <w:rsid w:val="00D35B0C"/>
    <w:rsid w:val="00D631C8"/>
    <w:rsid w:val="00D8066E"/>
    <w:rsid w:val="00DF4D8B"/>
    <w:rsid w:val="00E572B1"/>
    <w:rsid w:val="00EB4D11"/>
    <w:rsid w:val="00F26E67"/>
    <w:rsid w:val="00F84193"/>
    <w:rsid w:val="00FB00EC"/>
    <w:rsid w:val="00FB2D52"/>
    <w:rsid w:val="00FC18A4"/>
    <w:rsid w:val="00FD0339"/>
    <w:rsid w:val="04960E16"/>
    <w:rsid w:val="0A2A173C"/>
    <w:rsid w:val="0E5A2C58"/>
    <w:rsid w:val="1324792E"/>
    <w:rsid w:val="211B795D"/>
    <w:rsid w:val="383871CA"/>
    <w:rsid w:val="3AD53316"/>
    <w:rsid w:val="3F517992"/>
    <w:rsid w:val="54411E49"/>
    <w:rsid w:val="56A725B8"/>
    <w:rsid w:val="5AA21357"/>
    <w:rsid w:val="60106D27"/>
    <w:rsid w:val="62294BC9"/>
    <w:rsid w:val="6B7A7AE3"/>
    <w:rsid w:val="75CE7BD7"/>
    <w:rsid w:val="7FF62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423034-CBB5-443C-AAB2-78E3DC91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F4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1">
    <w:name w:val="Table Normal11"/>
    <w:uiPriority w:val="2"/>
    <w:semiHidden/>
    <w:qFormat/>
    <w:rsid w:val="00632EF5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Halimem</dc:creator>
  <cp:lastModifiedBy>Hakan</cp:lastModifiedBy>
  <cp:revision>32</cp:revision>
  <dcterms:created xsi:type="dcterms:W3CDTF">2025-10-10T06:36:00Z</dcterms:created>
  <dcterms:modified xsi:type="dcterms:W3CDTF">2025-10-13T11:52:00Z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B30F290FD3204FE2A02921EBB080567B_12</vt:lpwstr>
  </property>
</Properties>
</file>